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E1F" w:rsidRPr="00FE0E1F" w:rsidRDefault="00FE0E1F" w:rsidP="00FE0E1F">
      <w:pPr>
        <w:spacing w:after="360" w:line="240" w:lineRule="auto"/>
        <w:ind w:left="2829" w:hanging="2829"/>
        <w:jc w:val="center"/>
        <w:rPr>
          <w:rFonts w:cstheme="minorHAnsi"/>
          <w:b/>
          <w:color w:val="007114"/>
          <w:sz w:val="28"/>
          <w:u w:val="single"/>
        </w:rPr>
      </w:pPr>
      <w:r w:rsidRPr="00FE0E1F">
        <w:rPr>
          <w:rFonts w:cstheme="minorHAnsi"/>
          <w:b/>
          <w:color w:val="007114"/>
          <w:sz w:val="28"/>
          <w:u w:val="single"/>
        </w:rPr>
        <w:t xml:space="preserve">Evaluatieformulier MFO “Veilig gebruik van </w:t>
      </w:r>
      <w:proofErr w:type="spellStart"/>
      <w:r w:rsidRPr="00FE0E1F">
        <w:rPr>
          <w:rFonts w:cstheme="minorHAnsi"/>
          <w:b/>
          <w:color w:val="007114"/>
          <w:sz w:val="28"/>
          <w:u w:val="single"/>
        </w:rPr>
        <w:t>NSAID’s</w:t>
      </w:r>
      <w:proofErr w:type="spellEnd"/>
      <w:r w:rsidRPr="00FE0E1F">
        <w:rPr>
          <w:rFonts w:cstheme="minorHAnsi"/>
          <w:b/>
          <w:color w:val="007114"/>
          <w:sz w:val="28"/>
          <w:u w:val="single"/>
        </w:rPr>
        <w:t>”</w:t>
      </w:r>
    </w:p>
    <w:p w:rsidR="00FE0E1F" w:rsidRPr="00D2699F" w:rsidRDefault="001A69DD" w:rsidP="00FE0E1F">
      <w:pPr>
        <w:spacing w:line="240" w:lineRule="auto"/>
        <w:rPr>
          <w:rFonts w:cstheme="minorHAnsi"/>
          <w:i/>
        </w:rPr>
      </w:pPr>
      <w:r>
        <w:rPr>
          <w:rFonts w:cstheme="minorHAnsi"/>
          <w:i/>
        </w:rPr>
        <w:t>Uw mening telt:  w</w:t>
      </w:r>
      <w:r w:rsidR="00FE0E1F" w:rsidRPr="00D2699F">
        <w:rPr>
          <w:rFonts w:cstheme="minorHAnsi"/>
          <w:i/>
        </w:rPr>
        <w:t xml:space="preserve">ij hechten veel belang aan een voortdurende verbetering van onze activiteiten. Wij stellen uw mening dan ook ten zeerste op prijs. </w:t>
      </w:r>
    </w:p>
    <w:p w:rsidR="00FE0E1F" w:rsidRPr="00D2699F" w:rsidRDefault="00FE0E1F" w:rsidP="00FE0E1F">
      <w:pPr>
        <w:spacing w:line="240" w:lineRule="auto"/>
        <w:rPr>
          <w:rFonts w:cstheme="minorHAnsi"/>
          <w:i/>
        </w:rPr>
      </w:pPr>
      <w:r w:rsidRPr="00D2699F">
        <w:rPr>
          <w:rFonts w:cstheme="minorHAnsi"/>
          <w:i/>
        </w:rPr>
        <w:t xml:space="preserve">De gegevens worden anoniem verwerkt. </w:t>
      </w:r>
    </w:p>
    <w:p w:rsidR="00FE0E1F" w:rsidRPr="00D2699F" w:rsidRDefault="00FE0E1F" w:rsidP="00FE0E1F">
      <w:pPr>
        <w:spacing w:after="80" w:line="240" w:lineRule="auto"/>
        <w:rPr>
          <w:rFonts w:cstheme="minorHAnsi"/>
          <w:b/>
        </w:rPr>
      </w:pPr>
    </w:p>
    <w:p w:rsidR="00FE0E1F" w:rsidRDefault="00FE0E1F" w:rsidP="00FE0E1F">
      <w:pPr>
        <w:pStyle w:val="Lijstalinea"/>
        <w:numPr>
          <w:ilvl w:val="0"/>
          <w:numId w:val="2"/>
        </w:numPr>
        <w:spacing w:after="80" w:line="240" w:lineRule="auto"/>
        <w:rPr>
          <w:rFonts w:cstheme="minorHAnsi"/>
          <w:b/>
        </w:rPr>
      </w:pPr>
      <w:r>
        <w:rPr>
          <w:rFonts w:cstheme="minorHAnsi"/>
          <w:b/>
        </w:rPr>
        <w:t>Ik ben arts</w:t>
      </w:r>
    </w:p>
    <w:p w:rsidR="00FE0E1F" w:rsidRDefault="00FE0E1F" w:rsidP="00FE0E1F">
      <w:pPr>
        <w:pStyle w:val="Lijstalinea"/>
        <w:numPr>
          <w:ilvl w:val="0"/>
          <w:numId w:val="2"/>
        </w:numPr>
        <w:spacing w:after="80" w:line="240" w:lineRule="auto"/>
        <w:rPr>
          <w:rFonts w:cstheme="minorHAnsi"/>
          <w:b/>
        </w:rPr>
      </w:pPr>
      <w:r>
        <w:rPr>
          <w:rFonts w:cstheme="minorHAnsi"/>
          <w:b/>
        </w:rPr>
        <w:t>Ik ben apotheker</w:t>
      </w:r>
    </w:p>
    <w:p w:rsidR="00FE0E1F" w:rsidRPr="00AE62B8" w:rsidRDefault="00FE0E1F" w:rsidP="00FE0E1F">
      <w:pPr>
        <w:pStyle w:val="Lijstalinea"/>
        <w:spacing w:after="80" w:line="240" w:lineRule="auto"/>
        <w:rPr>
          <w:rFonts w:cstheme="minorHAnsi"/>
          <w:b/>
        </w:rPr>
      </w:pPr>
    </w:p>
    <w:p w:rsidR="00FE0E1F" w:rsidRPr="00FE0E1F" w:rsidRDefault="00FE0E1F" w:rsidP="00FE0E1F">
      <w:pPr>
        <w:spacing w:after="120" w:line="240" w:lineRule="auto"/>
        <w:jc w:val="both"/>
        <w:rPr>
          <w:rFonts w:cstheme="minorHAnsi"/>
          <w:b/>
          <w:color w:val="A0CA1B"/>
          <w:sz w:val="24"/>
        </w:rPr>
      </w:pPr>
      <w:r w:rsidRPr="00FE0E1F">
        <w:rPr>
          <w:rFonts w:cstheme="minorHAnsi"/>
          <w:b/>
          <w:color w:val="A0CA1B"/>
          <w:sz w:val="24"/>
        </w:rPr>
        <w:t>Opzet van het MFO</w:t>
      </w:r>
    </w:p>
    <w:p w:rsidR="00FE0E1F" w:rsidRPr="00FE0E1F" w:rsidRDefault="00FE0E1F" w:rsidP="00FE0E1F">
      <w:pPr>
        <w:spacing w:after="120" w:line="240" w:lineRule="auto"/>
        <w:jc w:val="both"/>
        <w:rPr>
          <w:rFonts w:cstheme="minorHAnsi"/>
          <w:b/>
          <w:color w:val="A0CA1B"/>
        </w:rPr>
      </w:pPr>
      <w:r w:rsidRPr="00FE0E1F">
        <w:rPr>
          <w:rFonts w:cstheme="minorHAnsi"/>
          <w:color w:val="A0CA1B"/>
        </w:rPr>
        <w:t xml:space="preserve">Gelieve het antwoord te omcirkelen dat voor u van toepassing is.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093"/>
        <w:gridCol w:w="1653"/>
        <w:gridCol w:w="1681"/>
        <w:gridCol w:w="1639"/>
      </w:tblGrid>
      <w:tr w:rsidR="00FE0E1F" w:rsidRPr="00D2699F" w:rsidTr="00E944C9">
        <w:tc>
          <w:tcPr>
            <w:tcW w:w="4503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Werd er </w:t>
            </w:r>
            <w:r w:rsidR="001A69DD">
              <w:rPr>
                <w:rFonts w:cstheme="minorHAnsi"/>
                <w:sz w:val="20"/>
              </w:rPr>
              <w:t>aan</w:t>
            </w:r>
            <w:r w:rsidRPr="00D2699F">
              <w:rPr>
                <w:rFonts w:cstheme="minorHAnsi"/>
                <w:sz w:val="20"/>
              </w:rPr>
              <w:t xml:space="preserve">geboden wat in de uitnodiging stond? </w:t>
            </w:r>
            <w:r w:rsidRPr="00D2699F">
              <w:rPr>
                <w:rFonts w:cstheme="minorHAnsi"/>
                <w:sz w:val="20"/>
              </w:rPr>
              <w:tab/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niet</w:t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Gedeeltelijk </w:t>
            </w:r>
          </w:p>
        </w:tc>
        <w:tc>
          <w:tcPr>
            <w:tcW w:w="1759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Volledig</w:t>
            </w:r>
          </w:p>
        </w:tc>
      </w:tr>
      <w:tr w:rsidR="00FE0E1F" w:rsidRPr="00D2699F" w:rsidTr="00E944C9">
        <w:tc>
          <w:tcPr>
            <w:tcW w:w="4503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Was de doelstelling duidelijk?</w:t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niet</w:t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Gedeeltelijk </w:t>
            </w:r>
          </w:p>
        </w:tc>
        <w:tc>
          <w:tcPr>
            <w:tcW w:w="1759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Volledig</w:t>
            </w:r>
          </w:p>
        </w:tc>
      </w:tr>
      <w:tr w:rsidR="00FE0E1F" w:rsidRPr="00D2699F" w:rsidTr="00E944C9">
        <w:tc>
          <w:tcPr>
            <w:tcW w:w="4503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Voldeed de locatie?</w:t>
            </w:r>
            <w:r w:rsidRPr="00D2699F">
              <w:rPr>
                <w:rFonts w:cstheme="minorHAnsi"/>
                <w:sz w:val="20"/>
              </w:rPr>
              <w:tab/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niet</w:t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Gedeeltelijk </w:t>
            </w:r>
          </w:p>
        </w:tc>
        <w:tc>
          <w:tcPr>
            <w:tcW w:w="1759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Volledig</w:t>
            </w:r>
          </w:p>
        </w:tc>
      </w:tr>
      <w:tr w:rsidR="00FE0E1F" w:rsidRPr="00D2699F" w:rsidTr="00E944C9">
        <w:tc>
          <w:tcPr>
            <w:tcW w:w="4503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Werd de timing voldoende gerespecteerd?</w:t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niet</w:t>
            </w:r>
          </w:p>
        </w:tc>
        <w:tc>
          <w:tcPr>
            <w:tcW w:w="1758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Gedeeltelijk </w:t>
            </w:r>
          </w:p>
        </w:tc>
        <w:tc>
          <w:tcPr>
            <w:tcW w:w="1759" w:type="dxa"/>
            <w:shd w:val="clear" w:color="auto" w:fill="auto"/>
          </w:tcPr>
          <w:p w:rsidR="00FE0E1F" w:rsidRPr="00D2699F" w:rsidRDefault="00FE0E1F" w:rsidP="00E944C9">
            <w:pPr>
              <w:spacing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Volledig</w:t>
            </w:r>
          </w:p>
        </w:tc>
      </w:tr>
    </w:tbl>
    <w:p w:rsidR="00FE0E1F" w:rsidRPr="00D2699F" w:rsidRDefault="00FE0E1F" w:rsidP="00FE0E1F">
      <w:pPr>
        <w:spacing w:after="80" w:line="240" w:lineRule="auto"/>
        <w:rPr>
          <w:rFonts w:cstheme="minorHAnsi"/>
        </w:rPr>
      </w:pPr>
      <w:r w:rsidRPr="00D2699F">
        <w:rPr>
          <w:rFonts w:cstheme="minorHAnsi"/>
        </w:rPr>
        <w:t>Opmerkingen: ……………………………………………………………………………………………………………………………..</w:t>
      </w:r>
    </w:p>
    <w:p w:rsidR="00FE0E1F" w:rsidRPr="00D2699F" w:rsidRDefault="00FE0E1F" w:rsidP="00FE0E1F">
      <w:pPr>
        <w:spacing w:after="80" w:line="240" w:lineRule="auto"/>
        <w:rPr>
          <w:rFonts w:cstheme="minorHAnsi"/>
        </w:rPr>
      </w:pPr>
      <w:r w:rsidRPr="00D2699F">
        <w:rPr>
          <w:rFonts w:cstheme="minorHAnsi"/>
        </w:rPr>
        <w:t>…………………………………………………………………………………………………………………………………………………….</w:t>
      </w:r>
    </w:p>
    <w:p w:rsidR="00FE0E1F" w:rsidRPr="00D2699F" w:rsidRDefault="00FE0E1F" w:rsidP="00FE0E1F">
      <w:pPr>
        <w:spacing w:after="80" w:line="240" w:lineRule="auto"/>
        <w:rPr>
          <w:rFonts w:cstheme="minorHAnsi"/>
        </w:rPr>
      </w:pPr>
      <w:r w:rsidRPr="00D2699F">
        <w:rPr>
          <w:rFonts w:cstheme="minorHAnsi"/>
        </w:rPr>
        <w:t>…………………………………………………………………………………………………………………………………………………….</w:t>
      </w:r>
    </w:p>
    <w:p w:rsidR="00FE0E1F" w:rsidRPr="00D2699F" w:rsidRDefault="00FE0E1F" w:rsidP="00FE0E1F">
      <w:pPr>
        <w:spacing w:after="80" w:line="240" w:lineRule="auto"/>
        <w:rPr>
          <w:rFonts w:cstheme="minorHAnsi"/>
        </w:rPr>
      </w:pPr>
    </w:p>
    <w:p w:rsidR="00FE0E1F" w:rsidRPr="00D2699F" w:rsidRDefault="00FE0E1F" w:rsidP="00FE0E1F">
      <w:pPr>
        <w:spacing w:after="80" w:line="240" w:lineRule="auto"/>
        <w:rPr>
          <w:rFonts w:cstheme="minorHAnsi"/>
        </w:rPr>
      </w:pPr>
    </w:p>
    <w:p w:rsidR="00FE0E1F" w:rsidRPr="00FE0E1F" w:rsidRDefault="00FE0E1F" w:rsidP="00FE0E1F">
      <w:pPr>
        <w:spacing w:after="120" w:line="240" w:lineRule="auto"/>
        <w:rPr>
          <w:rFonts w:cstheme="minorHAnsi"/>
          <w:b/>
          <w:color w:val="A0CA1B"/>
          <w:sz w:val="24"/>
        </w:rPr>
      </w:pPr>
      <w:r w:rsidRPr="00FE0E1F">
        <w:rPr>
          <w:rFonts w:cstheme="minorHAnsi"/>
          <w:b/>
          <w:color w:val="A0CA1B"/>
          <w:sz w:val="24"/>
        </w:rPr>
        <w:t>Inhoud van het MFO</w:t>
      </w:r>
    </w:p>
    <w:p w:rsidR="00FE0E1F" w:rsidRPr="00FE0E1F" w:rsidRDefault="00FE0E1F" w:rsidP="00FE0E1F">
      <w:pPr>
        <w:spacing w:after="120" w:line="240" w:lineRule="auto"/>
        <w:jc w:val="both"/>
        <w:rPr>
          <w:rFonts w:cstheme="minorHAnsi"/>
          <w:b/>
          <w:color w:val="A0CA1B"/>
        </w:rPr>
      </w:pPr>
      <w:r w:rsidRPr="00FE0E1F">
        <w:rPr>
          <w:rFonts w:cstheme="minorHAnsi"/>
          <w:color w:val="A0CA1B"/>
        </w:rPr>
        <w:t>In welke mate gaat u akkoord met de volgende uitspraken?</w:t>
      </w:r>
      <w:r w:rsidRPr="00FE0E1F">
        <w:rPr>
          <w:rFonts w:cstheme="minorHAnsi"/>
          <w:b/>
          <w:color w:val="A0CA1B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1214"/>
        <w:gridCol w:w="1198"/>
        <w:gridCol w:w="1202"/>
        <w:gridCol w:w="1194"/>
        <w:gridCol w:w="1214"/>
      </w:tblGrid>
      <w:tr w:rsidR="00FE0E1F" w:rsidRPr="00D2699F" w:rsidTr="00E944C9">
        <w:tc>
          <w:tcPr>
            <w:tcW w:w="344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b/>
                <w:sz w:val="20"/>
              </w:rPr>
            </w:pPr>
            <w:r w:rsidRPr="00D2699F">
              <w:rPr>
                <w:rFonts w:cstheme="minorHAnsi"/>
                <w:sz w:val="20"/>
              </w:rPr>
              <w:t>Ik heb kunnen bijdragen aan de discussie</w:t>
            </w:r>
            <w:r w:rsidR="001A69DD">
              <w:rPr>
                <w:rFonts w:cstheme="minorHAnsi"/>
                <w:sz w:val="20"/>
              </w:rPr>
              <w:t>.</w:t>
            </w:r>
            <w:r w:rsidRPr="00D2699F">
              <w:rPr>
                <w:rFonts w:cstheme="minorHAnsi"/>
                <w:sz w:val="20"/>
              </w:rPr>
              <w:t xml:space="preserve">                     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44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Ik vond de onderwerpen die aan bod kwamen tijdens het MFO relevant voor de praktijk</w:t>
            </w:r>
            <w:r w:rsidR="001A69DD">
              <w:rPr>
                <w:rFonts w:cstheme="minorHAnsi"/>
                <w:sz w:val="20"/>
              </w:rPr>
              <w:t>.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44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Ik heb vandaag iets bijgeleerd</w:t>
            </w:r>
            <w:r w:rsidR="001A69DD">
              <w:rPr>
                <w:rFonts w:cstheme="minorHAnsi"/>
                <w:sz w:val="20"/>
              </w:rPr>
              <w:t>.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44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Na vandaag zal ik sommige situaties in de praktijk anders aanpakken</w:t>
            </w:r>
            <w:r w:rsidR="001A69DD">
              <w:rPr>
                <w:rFonts w:cstheme="minorHAnsi"/>
                <w:sz w:val="20"/>
              </w:rPr>
              <w:t>.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44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Ik vond het MFO tijdsverlies</w:t>
            </w:r>
            <w:r w:rsidR="001A69DD">
              <w:rPr>
                <w:rFonts w:cstheme="minorHAnsi"/>
                <w:sz w:val="20"/>
              </w:rPr>
              <w:t>.</w:t>
            </w:r>
            <w:r w:rsidRPr="00D2699F">
              <w:rPr>
                <w:rFonts w:cstheme="minorHAnsi"/>
                <w:sz w:val="20"/>
              </w:rPr>
              <w:t xml:space="preserve">   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6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</w:tbl>
    <w:p w:rsidR="00FE0E1F" w:rsidRPr="00D2699F" w:rsidRDefault="00FE0E1F" w:rsidP="00FE0E1F">
      <w:pPr>
        <w:spacing w:after="80" w:line="240" w:lineRule="auto"/>
        <w:rPr>
          <w:rFonts w:cstheme="minorHAnsi"/>
          <w:b/>
        </w:rPr>
      </w:pPr>
    </w:p>
    <w:p w:rsidR="00FE0E1F" w:rsidRPr="00D2699F" w:rsidRDefault="00FE0E1F" w:rsidP="00FE0E1F">
      <w:pPr>
        <w:spacing w:after="200" w:line="276" w:lineRule="auto"/>
        <w:rPr>
          <w:rFonts w:cstheme="minorHAnsi"/>
          <w:b/>
          <w:color w:val="0070C0"/>
        </w:rPr>
      </w:pPr>
      <w:r w:rsidRPr="00D2699F">
        <w:rPr>
          <w:rFonts w:cstheme="minorHAnsi"/>
          <w:b/>
          <w:color w:val="0070C0"/>
        </w:rPr>
        <w:br w:type="page"/>
      </w:r>
    </w:p>
    <w:p w:rsidR="00FE0E1F" w:rsidRPr="00D2699F" w:rsidRDefault="00FE0E1F" w:rsidP="00FE0E1F">
      <w:pPr>
        <w:spacing w:after="120" w:line="240" w:lineRule="auto"/>
        <w:rPr>
          <w:rFonts w:cstheme="minorHAnsi"/>
          <w:b/>
          <w:color w:val="0070C0"/>
        </w:rPr>
      </w:pPr>
    </w:p>
    <w:p w:rsidR="00FE0E1F" w:rsidRPr="00FE0E1F" w:rsidRDefault="00FE0E1F" w:rsidP="00FE0E1F">
      <w:pPr>
        <w:spacing w:before="120" w:after="120" w:line="240" w:lineRule="auto"/>
        <w:jc w:val="both"/>
        <w:rPr>
          <w:rFonts w:cstheme="minorHAnsi"/>
          <w:b/>
          <w:color w:val="A0CA1B"/>
          <w:sz w:val="24"/>
        </w:rPr>
      </w:pPr>
      <w:r w:rsidRPr="00FE0E1F">
        <w:rPr>
          <w:rFonts w:cstheme="minorHAnsi"/>
          <w:b/>
          <w:color w:val="A0CA1B"/>
          <w:sz w:val="24"/>
        </w:rPr>
        <w:t>Vorm van het MFO</w:t>
      </w:r>
    </w:p>
    <w:p w:rsidR="00FE0E1F" w:rsidRPr="00FE0E1F" w:rsidRDefault="00FE0E1F" w:rsidP="00FE0E1F">
      <w:pPr>
        <w:spacing w:after="120" w:line="240" w:lineRule="auto"/>
        <w:jc w:val="both"/>
        <w:rPr>
          <w:rFonts w:cstheme="minorHAnsi"/>
          <w:b/>
          <w:color w:val="A0CA1B"/>
        </w:rPr>
      </w:pPr>
      <w:r w:rsidRPr="00FE0E1F">
        <w:rPr>
          <w:rFonts w:cstheme="minorHAnsi"/>
          <w:color w:val="A0CA1B"/>
        </w:rPr>
        <w:t>In welke mate gaat u akkoord met de volgende uitspraken?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57"/>
        <w:gridCol w:w="1211"/>
        <w:gridCol w:w="1195"/>
        <w:gridCol w:w="1200"/>
        <w:gridCol w:w="1191"/>
        <w:gridCol w:w="1212"/>
      </w:tblGrid>
      <w:tr w:rsidR="00FE0E1F" w:rsidRPr="00D2699F" w:rsidTr="00E944C9">
        <w:tc>
          <w:tcPr>
            <w:tcW w:w="317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b/>
                <w:sz w:val="20"/>
              </w:rPr>
            </w:pPr>
            <w:r w:rsidRPr="00D2699F">
              <w:rPr>
                <w:rFonts w:cstheme="minorHAnsi"/>
                <w:sz w:val="20"/>
              </w:rPr>
              <w:t>Iedereen had voldoende ruimte om zijn mening te geven</w:t>
            </w:r>
            <w:r w:rsidR="001A69DD">
              <w:rPr>
                <w:rFonts w:cstheme="minorHAnsi"/>
                <w:sz w:val="20"/>
              </w:rPr>
              <w:t>.</w:t>
            </w:r>
            <w:r w:rsidRPr="00D2699F">
              <w:rPr>
                <w:rFonts w:cstheme="minorHAnsi"/>
                <w:sz w:val="20"/>
              </w:rPr>
              <w:tab/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16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20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1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17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Het zijn steeds </w:t>
            </w:r>
            <w:proofErr w:type="spellStart"/>
            <w:r w:rsidRPr="00D2699F">
              <w:rPr>
                <w:rFonts w:cstheme="minorHAnsi"/>
                <w:sz w:val="20"/>
              </w:rPr>
              <w:t>dezelfden</w:t>
            </w:r>
            <w:proofErr w:type="spellEnd"/>
            <w:r w:rsidRPr="00D2699F">
              <w:rPr>
                <w:rFonts w:cstheme="minorHAnsi"/>
                <w:sz w:val="20"/>
              </w:rPr>
              <w:t xml:space="preserve"> die aan het woord waren tijdens het MFO</w:t>
            </w:r>
            <w:r w:rsidR="001A69DD">
              <w:rPr>
                <w:rFonts w:cstheme="minorHAnsi"/>
                <w:sz w:val="20"/>
              </w:rPr>
              <w:t>.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16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20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1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17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Ik vond de samenwerking met de andere zorgverleners aangenaam</w:t>
            </w:r>
            <w:r w:rsidR="001A69DD">
              <w:rPr>
                <w:rFonts w:cstheme="minorHAnsi"/>
                <w:sz w:val="20"/>
              </w:rPr>
              <w:t>.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16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20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1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17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De tijd voor het MFO werd efficiënt besteed</w:t>
            </w:r>
            <w:r w:rsidR="001A69DD">
              <w:rPr>
                <w:rFonts w:cstheme="minorHAnsi"/>
                <w:sz w:val="20"/>
              </w:rPr>
              <w:t>.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16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20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1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17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Het organiseren van een MFO is zeker voor herhaling vatbaar</w:t>
            </w:r>
            <w:r w:rsidR="001A69DD">
              <w:rPr>
                <w:rFonts w:cstheme="minorHAnsi"/>
                <w:sz w:val="20"/>
              </w:rPr>
              <w:t>.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Helemaal akkoord</w:t>
            </w:r>
          </w:p>
        </w:tc>
        <w:tc>
          <w:tcPr>
            <w:tcW w:w="1216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Akkoord</w:t>
            </w:r>
          </w:p>
        </w:tc>
        <w:tc>
          <w:tcPr>
            <w:tcW w:w="1220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Neutraal</w:t>
            </w:r>
          </w:p>
        </w:tc>
        <w:tc>
          <w:tcPr>
            <w:tcW w:w="121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>Niet akkoord</w:t>
            </w: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  <w:r w:rsidRPr="00D2699F">
              <w:rPr>
                <w:rFonts w:cstheme="minorHAnsi"/>
                <w:sz w:val="20"/>
              </w:rPr>
              <w:t xml:space="preserve">Helemaal niet akkoord </w:t>
            </w:r>
          </w:p>
        </w:tc>
      </w:tr>
      <w:tr w:rsidR="00FE0E1F" w:rsidRPr="00D2699F" w:rsidTr="00E944C9">
        <w:tc>
          <w:tcPr>
            <w:tcW w:w="3177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16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0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13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FE0E1F" w:rsidRPr="00D2699F" w:rsidRDefault="00FE0E1F" w:rsidP="00E944C9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</w:tr>
    </w:tbl>
    <w:p w:rsidR="00FE0E1F" w:rsidRPr="00D2699F" w:rsidRDefault="00FE0E1F" w:rsidP="00FE0E1F">
      <w:pPr>
        <w:spacing w:after="120" w:line="240" w:lineRule="auto"/>
        <w:rPr>
          <w:rFonts w:cstheme="minorHAnsi"/>
          <w:sz w:val="20"/>
        </w:rPr>
      </w:pPr>
    </w:p>
    <w:p w:rsidR="00D35558" w:rsidRPr="00D35558" w:rsidRDefault="00D35558" w:rsidP="00FE0E1F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color w:val="A0CA1B"/>
          <w:sz w:val="24"/>
        </w:rPr>
        <w:t>Welke score op 20 zou u aan dit MFO geven?</w:t>
      </w:r>
      <w:r w:rsidR="008F577C">
        <w:rPr>
          <w:rFonts w:cstheme="minorHAnsi"/>
          <w:b/>
          <w:color w:val="A0CA1B"/>
          <w:sz w:val="24"/>
        </w:rPr>
        <w:t xml:space="preserve">  </w:t>
      </w:r>
      <w:r>
        <w:rPr>
          <w:rFonts w:cstheme="minorHAnsi"/>
          <w:b/>
          <w:color w:val="A0CA1B"/>
          <w:sz w:val="24"/>
        </w:rPr>
        <w:t xml:space="preserve"> </w:t>
      </w:r>
      <w:r w:rsidRPr="00D35558">
        <w:rPr>
          <w:rFonts w:cstheme="minorHAnsi"/>
          <w:sz w:val="24"/>
          <w:szCs w:val="24"/>
        </w:rPr>
        <w:t>..../20</w:t>
      </w:r>
    </w:p>
    <w:p w:rsidR="008A48BE" w:rsidRDefault="008A48BE" w:rsidP="00FE0E1F">
      <w:pPr>
        <w:spacing w:after="120" w:line="240" w:lineRule="auto"/>
        <w:jc w:val="both"/>
        <w:rPr>
          <w:rFonts w:cstheme="minorHAnsi"/>
          <w:b/>
          <w:color w:val="A0CA1B"/>
          <w:sz w:val="24"/>
        </w:rPr>
      </w:pPr>
    </w:p>
    <w:p w:rsidR="00FE0E1F" w:rsidRPr="00FE0E1F" w:rsidRDefault="00FE0E1F" w:rsidP="00FE0E1F">
      <w:pPr>
        <w:spacing w:after="120" w:line="240" w:lineRule="auto"/>
        <w:jc w:val="both"/>
        <w:rPr>
          <w:rFonts w:cstheme="minorHAnsi"/>
          <w:b/>
          <w:color w:val="A0CA1B"/>
          <w:sz w:val="24"/>
        </w:rPr>
      </w:pPr>
      <w:r w:rsidRPr="00FE0E1F">
        <w:rPr>
          <w:rFonts w:cstheme="minorHAnsi"/>
          <w:b/>
          <w:color w:val="A0CA1B"/>
          <w:sz w:val="24"/>
        </w:rPr>
        <w:t xml:space="preserve">Op een volgend MFO zou ik graag het volgende onderwerp bespreken: </w:t>
      </w:r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beforeAutospacing="1"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7" w:anchor="Medicatienazicht_bij_risicopatiënten_met_polyfarmacie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Medicatienazicht bij risicopatiënten met polyfarmacie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8" w:anchor="Een_interdisciplinaire_aanpak_van_polymedicatie_bij_ouderen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Een interdisciplinaire aanpak van polymedicatie bij ouderen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9" w:anchor="Multidisciplinaire_aanpak_bij_Chronische_Nierinsufficiëntie_(CNI)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Multidisciplinaire aanpak bij Chronische Nierinsufficiëntie (CNI)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10" w:anchor="Naar_een_vlotte_samenwerking_tussen_huisarts_en_apotheker:_magistrale_bereidingen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Naar een vlotte samenwerking tussen huisarts en apotheker: magistrale bereidingen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11" w:anchor="Naar_een_vlotte_samenwerking_tussen_huisarts_en_apotheker:_misbruik_en_verslaving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Naar een vlotte samenwerking tussen huisarts en apotheker: misbruik en verslaving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12" w:anchor="Multidisciplinaire_aanpak_bij_het_goed_gebruik_van_directe_orale_anticoagulantia_(DOAC)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Multidisciplinaire aanpak bij het goed gebruik van directe orale anticoagulantia (DOAC)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13" w:anchor="Focus_op_enkele_vaak_voorkomende_interacties_in_de_klinische_praktijk;_hoe_het_risico_voor_de_patiënt_inperken_?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Focus op enkele vaak voorkomende interacties in de klinische praktijk; hoe het risico voor de patiënt inperken ?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14" w:anchor="Een_interdisciplinaire_aanpak_van_polymedicatie_bij_ouderen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Een interdisciplinaire aanpak van polymedicatie bij ouderen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15" w:anchor="Valpreventie:_het_verband_tussen_psychofarmaca_en_vallen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Valpreventie: het verband tussen psychofarmaca en vallen</w:t>
        </w:r>
      </w:hyperlink>
    </w:p>
    <w:p w:rsidR="008A48BE" w:rsidRPr="008A48BE" w:rsidRDefault="008A48BE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sz w:val="20"/>
          <w:szCs w:val="20"/>
          <w:lang w:val="nl-BE" w:eastAsia="nl-BE"/>
        </w:rPr>
      </w:pPr>
      <w:hyperlink r:id="rId16" w:anchor="Transmuraal_medicatiebeleid" w:history="1">
        <w:r w:rsidRPr="008A48BE">
          <w:rPr>
            <w:rFonts w:eastAsia="Times New Roman" w:cstheme="minorHAnsi"/>
            <w:sz w:val="20"/>
            <w:szCs w:val="20"/>
            <w:lang w:val="nl-BE" w:eastAsia="nl-BE"/>
          </w:rPr>
          <w:t>Transmuraal medicatiebeleid</w:t>
        </w:r>
      </w:hyperlink>
    </w:p>
    <w:p w:rsidR="00FE0E1F" w:rsidRPr="008A48BE" w:rsidRDefault="001A69DD" w:rsidP="008A48BE">
      <w:pPr>
        <w:numPr>
          <w:ilvl w:val="0"/>
          <w:numId w:val="3"/>
        </w:numPr>
        <w:tabs>
          <w:tab w:val="clear" w:pos="720"/>
          <w:tab w:val="num" w:pos="1440"/>
        </w:tabs>
        <w:spacing w:after="0" w:line="240" w:lineRule="auto"/>
        <w:rPr>
          <w:rFonts w:eastAsia="Times New Roman" w:cstheme="minorHAnsi"/>
          <w:color w:val="2D3235"/>
          <w:sz w:val="20"/>
          <w:szCs w:val="20"/>
          <w:lang w:val="nl-BE" w:eastAsia="nl-BE"/>
        </w:rPr>
      </w:pPr>
      <w:r w:rsidRPr="008F577C">
        <w:rPr>
          <w:rFonts w:cstheme="minorHAnsi"/>
          <w:sz w:val="20"/>
          <w:szCs w:val="20"/>
        </w:rPr>
        <w:t>een ander</w:t>
      </w:r>
      <w:r w:rsidR="00FE0E1F" w:rsidRPr="008F577C">
        <w:rPr>
          <w:rFonts w:cstheme="minorHAnsi"/>
          <w:sz w:val="20"/>
          <w:szCs w:val="20"/>
        </w:rPr>
        <w:t xml:space="preserve"> onderwerp namelijk</w:t>
      </w:r>
      <w:r w:rsidR="00FE0E1F" w:rsidRPr="008A48BE">
        <w:rPr>
          <w:rFonts w:cstheme="minorHAnsi"/>
        </w:rPr>
        <w:t>: ..............................................................</w:t>
      </w:r>
    </w:p>
    <w:p w:rsidR="00FE0E1F" w:rsidRPr="00D2699F" w:rsidRDefault="00FE0E1F" w:rsidP="00FE0E1F">
      <w:pPr>
        <w:jc w:val="both"/>
        <w:rPr>
          <w:rFonts w:cstheme="minorHAnsi"/>
        </w:rPr>
      </w:pPr>
    </w:p>
    <w:p w:rsidR="00FE0E1F" w:rsidRPr="00D2699F" w:rsidRDefault="00FE0E1F" w:rsidP="00FE0E1F">
      <w:pPr>
        <w:rPr>
          <w:rFonts w:cstheme="minorHAnsi"/>
        </w:rPr>
      </w:pPr>
    </w:p>
    <w:p w:rsidR="00FE0E1F" w:rsidRDefault="00FE0E1F" w:rsidP="00FE0E1F"/>
    <w:p w:rsidR="00FE0E1F" w:rsidRDefault="00FE0E1F" w:rsidP="00FE0E1F"/>
    <w:p w:rsidR="00FE0E1F" w:rsidRDefault="00FE0E1F" w:rsidP="00FE0E1F"/>
    <w:p w:rsidR="00FE0E1F" w:rsidRDefault="00FE0E1F" w:rsidP="00FE0E1F">
      <w:bookmarkStart w:id="0" w:name="_GoBack"/>
      <w:bookmarkEnd w:id="0"/>
    </w:p>
    <w:p w:rsidR="00FE0E1F" w:rsidRDefault="00FE0E1F" w:rsidP="00FE0E1F"/>
    <w:p w:rsidR="00FE0E1F" w:rsidRDefault="00FE0E1F" w:rsidP="00FE0E1F"/>
    <w:p w:rsidR="00301FFB" w:rsidRDefault="00301FFB"/>
    <w:sectPr w:rsidR="00301FFB" w:rsidSect="00DD6832">
      <w:headerReference w:type="even" r:id="rId17"/>
      <w:headerReference w:type="default" r:id="rId18"/>
      <w:headerReference w:type="first" r:id="rId19"/>
      <w:pgSz w:w="11900" w:h="16840"/>
      <w:pgMar w:top="1417" w:right="1417" w:bottom="1417" w:left="1417" w:header="708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919" w:rsidRDefault="00D35558">
      <w:pPr>
        <w:spacing w:after="0" w:line="240" w:lineRule="auto"/>
      </w:pPr>
      <w:r>
        <w:separator/>
      </w:r>
    </w:p>
  </w:endnote>
  <w:endnote w:type="continuationSeparator" w:id="0">
    <w:p w:rsidR="00020919" w:rsidRDefault="00D3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919" w:rsidRDefault="00D35558">
      <w:pPr>
        <w:spacing w:after="0" w:line="240" w:lineRule="auto"/>
      </w:pPr>
      <w:r>
        <w:separator/>
      </w:r>
    </w:p>
  </w:footnote>
  <w:footnote w:type="continuationSeparator" w:id="0">
    <w:p w:rsidR="00020919" w:rsidRDefault="00D35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FE0E1F" w:rsidP="007D5041">
    <w:pPr>
      <w:pStyle w:val="Koptekst"/>
    </w:pPr>
    <w:r>
      <w:rPr>
        <w:noProof/>
        <w:lang w:val="nl-BE" w:eastAsia="nl-BE"/>
      </w:rPr>
      <w:drawing>
        <wp:anchor distT="0" distB="0" distL="114300" distR="114300" simplePos="0" relativeHeight="251657216" behindDoc="1" locked="0" layoutInCell="1" allowOverlap="1" wp14:anchorId="620FDD37" wp14:editId="15A66D0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4" name="Picture 4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anchor distT="0" distB="0" distL="114300" distR="114300" simplePos="0" relativeHeight="251655168" behindDoc="1" locked="0" layoutInCell="1" allowOverlap="1" wp14:anchorId="2CB1B4E2" wp14:editId="387507E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3" name="Picture 3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77C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style="position:absolute;margin-left:0;margin-top:0;width:595.15pt;height:841.85pt;z-index:-251657216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866" w:rsidRDefault="008F577C">
    <w:pPr>
      <w:pStyle w:val="Koptekst"/>
    </w:pPr>
  </w:p>
  <w:p w:rsidR="004B3B1E" w:rsidRDefault="008F577C" w:rsidP="007D5041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FE0E1F" w:rsidP="007D5041">
    <w:pPr>
      <w:pStyle w:val="Koptekst"/>
    </w:pPr>
    <w:r>
      <w:rPr>
        <w:noProof/>
        <w:lang w:val="nl-BE" w:eastAsia="nl-BE"/>
      </w:rPr>
      <w:drawing>
        <wp:anchor distT="0" distB="0" distL="114300" distR="114300" simplePos="0" relativeHeight="251658240" behindDoc="1" locked="0" layoutInCell="1" allowOverlap="1" wp14:anchorId="7CBE40C0" wp14:editId="29C6F94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2" name="Picture 2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anchor distT="0" distB="0" distL="114300" distR="114300" simplePos="0" relativeHeight="251656192" behindDoc="1" locked="0" layoutInCell="1" allowOverlap="1" wp14:anchorId="51566951" wp14:editId="7B1335A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1" name="Picture 1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77C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0;margin-top:0;width:595.15pt;height:841.85pt;z-index:-251656192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75F7F"/>
    <w:multiLevelType w:val="hybridMultilevel"/>
    <w:tmpl w:val="A708851A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94F4A"/>
    <w:multiLevelType w:val="multilevel"/>
    <w:tmpl w:val="25C4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4D51F7"/>
    <w:multiLevelType w:val="hybridMultilevel"/>
    <w:tmpl w:val="6B8C6134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1F"/>
    <w:rsid w:val="00020919"/>
    <w:rsid w:val="001A69DD"/>
    <w:rsid w:val="00301FFB"/>
    <w:rsid w:val="008A48BE"/>
    <w:rsid w:val="008F577C"/>
    <w:rsid w:val="0094727A"/>
    <w:rsid w:val="00D35558"/>
    <w:rsid w:val="00FE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FBEAE47-913B-4FDC-BFF7-D551AAB5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0E1F"/>
    <w:pPr>
      <w:spacing w:after="180" w:line="274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E0E1F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E0E1F"/>
    <w:rPr>
      <w:lang w:val="nl-NL"/>
    </w:rPr>
  </w:style>
  <w:style w:type="paragraph" w:styleId="Lijstalinea">
    <w:name w:val="List Paragraph"/>
    <w:basedOn w:val="Standaard"/>
    <w:uiPriority w:val="34"/>
    <w:qFormat/>
    <w:rsid w:val="00FE0E1F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A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8A4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13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12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10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riziv.fgov.be/nl/themas/zorgkwaliteit/geneesmiddelen/medisch-farmaceutisch-overleg/Paginas/goedgekeurde-kwaliteitsbevorderende-programma.aspx" TargetMode="External"/><Relationship Id="rId14" Type="http://schemas.openxmlformats.org/officeDocument/2006/relationships/hyperlink" Target="http://www.riziv.fgov.be/nl/themas/zorgkwaliteit/geneesmiddelen/medisch-farmaceutisch-overleg/Paginas/goedgekeurde-kwaliteitsbevorderende-programma.asp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5</cp:revision>
  <dcterms:created xsi:type="dcterms:W3CDTF">2017-07-12T08:43:00Z</dcterms:created>
  <dcterms:modified xsi:type="dcterms:W3CDTF">2017-09-19T15:00:00Z</dcterms:modified>
</cp:coreProperties>
</file>